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36" w:rsidRDefault="001D4B36" w:rsidP="008C19DE">
      <w:pPr>
        <w:spacing w:after="0"/>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Pr>
          <w:rFonts w:ascii="Times New Roman" w:hAnsi="Times New Roman" w:cs="Times New Roman"/>
          <w:sz w:val="26"/>
          <w:szCs w:val="26"/>
        </w:rPr>
        <w:t> </w:t>
      </w:r>
      <w:r w:rsidRPr="001D4B36">
        <w:rPr>
          <w:rFonts w:ascii="Times New Roman" w:hAnsi="Times New Roman" w:cs="Times New Roman"/>
          <w:sz w:val="26"/>
          <w:szCs w:val="26"/>
        </w:rPr>
        <w:t>г.</w:t>
      </w:r>
      <w:r w:rsidR="0046108B">
        <w:rPr>
          <w:rFonts w:ascii="Times New Roman" w:hAnsi="Times New Roman" w:cs="Times New Roman"/>
          <w:sz w:val="26"/>
          <w:szCs w:val="26"/>
        </w:rPr>
        <w:t> </w:t>
      </w:r>
      <w:r w:rsidRPr="001D4B36">
        <w:rPr>
          <w:rFonts w:ascii="Times New Roman" w:hAnsi="Times New Roman" w:cs="Times New Roman"/>
          <w:sz w:val="26"/>
          <w:szCs w:val="26"/>
        </w:rPr>
        <w:t>№</w:t>
      </w:r>
      <w:r w:rsidR="00467365">
        <w:rPr>
          <w:rFonts w:ascii="Times New Roman" w:hAnsi="Times New Roman" w:cs="Times New Roman"/>
          <w:sz w:val="26"/>
          <w:szCs w:val="26"/>
        </w:rPr>
        <w:t> </w:t>
      </w:r>
      <w:r w:rsidRPr="001D4B36">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sidR="0046108B">
        <w:rPr>
          <w:rFonts w:ascii="Times New Roman" w:hAnsi="Times New Roman" w:cs="Times New Roman"/>
          <w:sz w:val="26"/>
          <w:szCs w:val="26"/>
        </w:rPr>
        <w:t> </w:t>
      </w:r>
      <w:r w:rsidRPr="001D4B36">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1D4B36">
        <w:rPr>
          <w:rFonts w:ascii="Times New Roman" w:hAnsi="Times New Roman" w:cs="Times New Roman"/>
          <w:sz w:val="26"/>
          <w:szCs w:val="26"/>
        </w:rPr>
        <w:t xml:space="preserve"> Европейских статистиков по</w:t>
      </w:r>
      <w:r w:rsidR="0046108B">
        <w:rPr>
          <w:rFonts w:ascii="Times New Roman" w:hAnsi="Times New Roman" w:cs="Times New Roman"/>
          <w:sz w:val="26"/>
          <w:szCs w:val="26"/>
        </w:rPr>
        <w:t> </w:t>
      </w:r>
      <w:r w:rsidRPr="001D4B36">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sidR="009C3AD2">
        <w:rPr>
          <w:rFonts w:ascii="Times New Roman" w:hAnsi="Times New Roman" w:cs="Times New Roman"/>
          <w:sz w:val="26"/>
          <w:szCs w:val="26"/>
        </w:rPr>
        <w:t xml:space="preserve"> </w:t>
      </w:r>
      <w:r w:rsidRPr="001D4B36">
        <w:rPr>
          <w:rFonts w:ascii="Times New Roman" w:hAnsi="Times New Roman" w:cs="Times New Roman"/>
          <w:sz w:val="26"/>
          <w:szCs w:val="26"/>
        </w:rPr>
        <w:t xml:space="preserve">1998).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Дата переписи.</w:t>
      </w:r>
      <w:r w:rsidRPr="001D4B36">
        <w:rPr>
          <w:rFonts w:ascii="Times New Roman" w:hAnsi="Times New Roman" w:cs="Times New Roman"/>
          <w:sz w:val="26"/>
          <w:szCs w:val="26"/>
        </w:rPr>
        <w:t xml:space="preserve"> Всероссийская перепись населения 2020 года проведена по</w:t>
      </w:r>
      <w:r w:rsidR="0046108B">
        <w:rPr>
          <w:rFonts w:ascii="Times New Roman" w:hAnsi="Times New Roman" w:cs="Times New Roman"/>
          <w:sz w:val="26"/>
          <w:szCs w:val="26"/>
        </w:rPr>
        <w:t> </w:t>
      </w:r>
      <w:r w:rsidRPr="001D4B36">
        <w:rPr>
          <w:rFonts w:ascii="Times New Roman" w:hAnsi="Times New Roman" w:cs="Times New Roman"/>
          <w:sz w:val="26"/>
          <w:szCs w:val="26"/>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другое).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1D4B36">
        <w:rPr>
          <w:rFonts w:ascii="Times New Roman" w:hAnsi="Times New Roman" w:cs="Times New Roman"/>
          <w:sz w:val="26"/>
          <w:szCs w:val="26"/>
        </w:rPr>
        <w:t>Для</w:t>
      </w:r>
      <w:r w:rsidR="0046108B">
        <w:rPr>
          <w:rFonts w:ascii="Times New Roman" w:hAnsi="Times New Roman" w:cs="Times New Roman"/>
          <w:sz w:val="26"/>
          <w:szCs w:val="26"/>
        </w:rPr>
        <w:t> </w:t>
      </w:r>
      <w:r w:rsidRPr="001D4B36">
        <w:rPr>
          <w:rFonts w:ascii="Times New Roman" w:hAnsi="Times New Roman" w:cs="Times New Roman"/>
          <w:sz w:val="26"/>
          <w:szCs w:val="26"/>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1D4B36">
        <w:rPr>
          <w:rFonts w:ascii="Times New Roman" w:hAnsi="Times New Roman" w:cs="Times New Roman"/>
          <w:sz w:val="26"/>
          <w:szCs w:val="26"/>
        </w:rPr>
        <w:t xml:space="preserve"> </w:t>
      </w:r>
      <w:proofErr w:type="gramStart"/>
      <w:r w:rsidRPr="001D4B36">
        <w:rPr>
          <w:rFonts w:ascii="Times New Roman" w:hAnsi="Times New Roman" w:cs="Times New Roman"/>
          <w:sz w:val="26"/>
          <w:szCs w:val="26"/>
        </w:rPr>
        <w:t>2020 г., регис</w:t>
      </w:r>
      <w:r w:rsidR="008C19DE">
        <w:rPr>
          <w:rFonts w:ascii="Times New Roman" w:hAnsi="Times New Roman" w:cs="Times New Roman"/>
          <w:sz w:val="26"/>
          <w:szCs w:val="26"/>
        </w:rPr>
        <w:t>трационный № 60299).</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Категории переписываемого населения.</w:t>
      </w:r>
      <w:r w:rsidRPr="001D4B36">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лица, постоянно проживающие в России и временно выехавшие за рубеж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постоянно проживающие в России моряки российских рыболовных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торговых судов, находящиеся на дату переписи населения в плавании;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и иностранные граждане и лица без гражданства, прибывшие в</w:t>
      </w:r>
      <w:r w:rsidR="0046108B">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постоянное жительство или ищущие убежище, включая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тех из них, кто не успел оформить регистрационные документы;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и иностранные граждане и лица без гражданства, прибывшие </w:t>
      </w:r>
      <w:r w:rsidR="008C19DE">
        <w:rPr>
          <w:rFonts w:ascii="Times New Roman" w:hAnsi="Times New Roman" w:cs="Times New Roman"/>
          <w:sz w:val="26"/>
          <w:szCs w:val="26"/>
        </w:rPr>
        <w:br/>
      </w:r>
      <w:r w:rsidRPr="001D4B36">
        <w:rPr>
          <w:rFonts w:ascii="Times New Roman" w:hAnsi="Times New Roman" w:cs="Times New Roman"/>
          <w:sz w:val="26"/>
          <w:szCs w:val="26"/>
        </w:rPr>
        <w:t xml:space="preserve">в Россию из-за рубежа на учебу, работу или с другой целью на срок один год </w:t>
      </w:r>
      <w:r w:rsidRPr="001D4B36">
        <w:rPr>
          <w:rFonts w:ascii="Times New Roman" w:hAnsi="Times New Roman" w:cs="Times New Roman"/>
          <w:sz w:val="26"/>
          <w:szCs w:val="26"/>
        </w:rPr>
        <w:lastRenderedPageBreak/>
        <w:t>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более (независимо от того, сколько времени они </w:t>
      </w:r>
      <w:proofErr w:type="gramStart"/>
      <w:r w:rsidRPr="001D4B36">
        <w:rPr>
          <w:rFonts w:ascii="Times New Roman" w:hAnsi="Times New Roman" w:cs="Times New Roman"/>
          <w:sz w:val="26"/>
          <w:szCs w:val="26"/>
        </w:rPr>
        <w:t>пробыли в стране и сколько им</w:t>
      </w:r>
      <w:r w:rsidR="0046108B">
        <w:rPr>
          <w:rFonts w:ascii="Times New Roman" w:hAnsi="Times New Roman" w:cs="Times New Roman"/>
          <w:sz w:val="26"/>
          <w:szCs w:val="26"/>
        </w:rPr>
        <w:t> </w:t>
      </w:r>
      <w:r w:rsidRPr="001D4B36">
        <w:rPr>
          <w:rFonts w:ascii="Times New Roman" w:hAnsi="Times New Roman" w:cs="Times New Roman"/>
          <w:sz w:val="26"/>
          <w:szCs w:val="26"/>
        </w:rPr>
        <w:t>осталось</w:t>
      </w:r>
      <w:proofErr w:type="gramEnd"/>
      <w:r w:rsidRPr="001D4B36">
        <w:rPr>
          <w:rFonts w:ascii="Times New Roman" w:hAnsi="Times New Roman" w:cs="Times New Roman"/>
          <w:sz w:val="26"/>
          <w:szCs w:val="26"/>
        </w:rPr>
        <w:t xml:space="preserve"> находиться в России).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Pr>
          <w:rFonts w:ascii="Times New Roman" w:hAnsi="Times New Roman" w:cs="Times New Roman"/>
          <w:sz w:val="26"/>
          <w:szCs w:val="26"/>
        </w:rPr>
        <w:t> </w:t>
      </w:r>
      <w:r w:rsidRPr="001D4B36">
        <w:rPr>
          <w:rFonts w:ascii="Times New Roman" w:hAnsi="Times New Roman" w:cs="Times New Roman"/>
          <w:sz w:val="26"/>
          <w:szCs w:val="26"/>
        </w:rPr>
        <w:t>учебу или работу на срок менее 1 года, прибывшие независимо от срока на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отдых, лечение, посещения родственников или знакомых, религиозного паломничества, а также транзитные мигранты.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Бездомные учтены в том месте,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Не учитывались при переписи населения: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выехавшие за рубеж на работу по контрактам с</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российскими или иностранными фирмами или учебу на срок один год и более (независимо от того, когда они </w:t>
      </w:r>
      <w:proofErr w:type="gramStart"/>
      <w:r w:rsidRPr="001D4B36">
        <w:rPr>
          <w:rFonts w:ascii="Times New Roman" w:hAnsi="Times New Roman" w:cs="Times New Roman"/>
          <w:sz w:val="26"/>
          <w:szCs w:val="26"/>
        </w:rPr>
        <w:t>выехали и сколько им осталось</w:t>
      </w:r>
      <w:proofErr w:type="gramEnd"/>
      <w:r w:rsidRPr="001D4B36">
        <w:rPr>
          <w:rFonts w:ascii="Times New Roman" w:hAnsi="Times New Roman" w:cs="Times New Roman"/>
          <w:sz w:val="26"/>
          <w:szCs w:val="26"/>
        </w:rPr>
        <w:t xml:space="preserve"> находиться за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рубежом);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семей;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на территории России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представительствах международных организаций;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являющиеся членами делегаций правительств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законодательных органов своих государств. </w:t>
      </w:r>
    </w:p>
    <w:p w:rsidR="001D4B36" w:rsidRPr="001D4B36" w:rsidRDefault="001D4B36" w:rsidP="00060B5C">
      <w:pPr>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sz w:val="26"/>
          <w:szCs w:val="26"/>
        </w:rPr>
        <w:t xml:space="preserve">Население переписано </w:t>
      </w:r>
      <w:r w:rsidRPr="00CA6849">
        <w:rPr>
          <w:rFonts w:ascii="Times New Roman" w:hAnsi="Times New Roman" w:cs="Times New Roman"/>
          <w:b/>
          <w:sz w:val="26"/>
          <w:szCs w:val="26"/>
        </w:rPr>
        <w:t>по месту своего постоянного (обычного) жительства</w:t>
      </w:r>
      <w:r w:rsidRPr="0002126E">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w:t>
      </w:r>
      <w:r w:rsidR="00060B5C">
        <w:rPr>
          <w:rFonts w:ascii="Times New Roman" w:hAnsi="Times New Roman" w:cs="Times New Roman"/>
          <w:sz w:val="26"/>
          <w:szCs w:val="26"/>
        </w:rPr>
        <w:t xml:space="preserve"> </w:t>
      </w:r>
      <w:r w:rsidRPr="001D4B36">
        <w:rPr>
          <w:rFonts w:ascii="Times New Roman" w:hAnsi="Times New Roman" w:cs="Times New Roman"/>
          <w:color w:val="221E1F"/>
          <w:sz w:val="26"/>
          <w:szCs w:val="26"/>
        </w:rPr>
        <w:t xml:space="preserve">(обычно).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Это место может совпадать или не совпадать с адресом, по которому человек зарегистрирован по месту жительства или пребывания.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б) индивидуальный (одноквартирный) дом (изба, </w:t>
      </w:r>
      <w:proofErr w:type="gramStart"/>
      <w:r w:rsidRPr="001D4B36">
        <w:rPr>
          <w:rFonts w:ascii="Times New Roman" w:hAnsi="Times New Roman" w:cs="Times New Roman"/>
          <w:color w:val="221E1F"/>
          <w:sz w:val="26"/>
          <w:szCs w:val="26"/>
        </w:rPr>
        <w:t>сторожка</w:t>
      </w:r>
      <w:proofErr w:type="gramEnd"/>
      <w:r w:rsidRPr="001D4B36">
        <w:rPr>
          <w:rFonts w:ascii="Times New Roman" w:hAnsi="Times New Roman" w:cs="Times New Roman"/>
          <w:color w:val="221E1F"/>
          <w:sz w:val="26"/>
          <w:szCs w:val="26"/>
        </w:rPr>
        <w:t>, коттедж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другое одноквартирное строение);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комната в общежитии (</w:t>
      </w:r>
      <w:proofErr w:type="spellStart"/>
      <w:r w:rsidRPr="001D4B36">
        <w:rPr>
          <w:rFonts w:ascii="Times New Roman" w:hAnsi="Times New Roman" w:cs="Times New Roman"/>
          <w:color w:val="221E1F"/>
          <w:sz w:val="26"/>
          <w:szCs w:val="26"/>
        </w:rPr>
        <w:t>неквартирного</w:t>
      </w:r>
      <w:proofErr w:type="spellEnd"/>
      <w:r w:rsidRPr="001D4B36">
        <w:rPr>
          <w:rFonts w:ascii="Times New Roman" w:hAnsi="Times New Roman" w:cs="Times New Roman"/>
          <w:color w:val="221E1F"/>
          <w:sz w:val="26"/>
          <w:szCs w:val="26"/>
        </w:rPr>
        <w:t xml:space="preserve">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sidRPr="001D4B36">
        <w:rPr>
          <w:rFonts w:ascii="Times New Roman" w:hAnsi="Times New Roman" w:cs="Times New Roman"/>
          <w:color w:val="221E1F"/>
          <w:sz w:val="26"/>
          <w:szCs w:val="26"/>
        </w:rPr>
        <w:t>хозблок</w:t>
      </w:r>
      <w:proofErr w:type="spellEnd"/>
      <w:r w:rsidRPr="001D4B36">
        <w:rPr>
          <w:rFonts w:ascii="Times New Roman" w:hAnsi="Times New Roman" w:cs="Times New Roman"/>
          <w:color w:val="221E1F"/>
          <w:sz w:val="26"/>
          <w:szCs w:val="26"/>
        </w:rPr>
        <w:t xml:space="preserve">, баржа и т.п.);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lastRenderedPageBreak/>
        <w:t>е) палата, отделение и др. (в зависимости от того, как ведется учет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больницах для больных с хроническими заболеваниями</w:t>
      </w:r>
      <w:proofErr w:type="gramEnd"/>
      <w:r w:rsidRPr="001D4B36">
        <w:rPr>
          <w:rFonts w:ascii="Times New Roman" w:hAnsi="Times New Roman" w:cs="Times New Roman"/>
          <w:color w:val="221E1F"/>
          <w:sz w:val="26"/>
          <w:szCs w:val="26"/>
        </w:rPr>
        <w:t xml:space="preserve"> и т.п.), в казармах, местах заключения, религиозных организациях.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1D4B36">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2) Граждане России, выехавшие в длительные служебные командировки (на</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месту их нахождения. Численность этой категории населения представлена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таблице 1 тома 1.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4) Лица, призванные на военно-учебный сбор, переписывались дома вместе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членами их домохозяйств с 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5) Военнослужащие, проходившие военную службу по контракту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проживавшие на открытой территории, переписывались вместе с членами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домохозяйств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6) Военнослужащие, проходившие военную службу по призыву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и проживавшие на закрытой территории,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1D4B36">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w:t>
      </w:r>
      <w:r w:rsidRPr="001D4B36">
        <w:rPr>
          <w:rFonts w:ascii="Times New Roman" w:hAnsi="Times New Roman" w:cs="Times New Roman"/>
          <w:color w:val="221E1F"/>
          <w:sz w:val="26"/>
          <w:szCs w:val="26"/>
        </w:rPr>
        <w:lastRenderedPageBreak/>
        <w:t xml:space="preserve">приговор не вступил в силу, переписывались по месту своего постоянного (обычного) жительства с отметкой о временном отсутствии.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гражданства переписывались по месту их жительства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11) Лица (независимо от их гражданства), прибывшие в Российскую Федерацию на срок 1 год и более на работу по контрактам </w:t>
      </w:r>
      <w:proofErr w:type="spellStart"/>
      <w:r w:rsidRPr="001D4B36">
        <w:rPr>
          <w:rFonts w:ascii="Times New Roman" w:hAnsi="Times New Roman" w:cs="Times New Roman"/>
          <w:color w:val="221E1F"/>
          <w:sz w:val="26"/>
          <w:szCs w:val="26"/>
        </w:rPr>
        <w:t>c</w:t>
      </w:r>
      <w:proofErr w:type="spellEnd"/>
      <w:r w:rsidRPr="001D4B36">
        <w:rPr>
          <w:rFonts w:ascii="Times New Roman" w:hAnsi="Times New Roman" w:cs="Times New Roman"/>
          <w:color w:val="221E1F"/>
          <w:sz w:val="26"/>
          <w:szCs w:val="26"/>
        </w:rPr>
        <w:t xml:space="preserve"> российскими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иностранными организациями (кроме иностранных граждан, работавших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представительствах иностранных государств и международных организаций)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или учебу, переписывались как постоянные жители России там, где они обычно проживали в Российской Федерации.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12) Лица (независимо от их гражданства), прибывшие из зарубежных стран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w:t>
      </w:r>
      <w:r w:rsidR="00CB44F7">
        <w:rPr>
          <w:rFonts w:ascii="Times New Roman" w:hAnsi="Times New Roman" w:cs="Times New Roman"/>
          <w:color w:val="221E1F"/>
          <w:sz w:val="26"/>
          <w:szCs w:val="26"/>
        </w:rPr>
        <w:br/>
      </w:r>
      <w:r w:rsidRPr="001D4B36">
        <w:rPr>
          <w:rFonts w:ascii="Times New Roman" w:hAnsi="Times New Roman" w:cs="Times New Roman"/>
          <w:color w:val="221E1F"/>
          <w:sz w:val="26"/>
          <w:szCs w:val="26"/>
        </w:rPr>
        <w:t>где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13) В гостиницах, больницах, домах отдыха, санаториях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т.</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Все перечисленные категории населения (кроме категории, указанной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02126E" w:rsidRPr="0002126E" w:rsidRDefault="001D4B36" w:rsidP="0002126E">
      <w:pPr>
        <w:pStyle w:val="Default"/>
        <w:ind w:firstLine="709"/>
        <w:jc w:val="both"/>
        <w:rPr>
          <w:rFonts w:ascii="Times New Roman" w:hAnsi="Times New Roman" w:cs="Times New Roman"/>
          <w:color w:val="221E1F"/>
          <w:sz w:val="26"/>
          <w:szCs w:val="26"/>
        </w:rPr>
      </w:pPr>
      <w:proofErr w:type="gramStart"/>
      <w:r w:rsidRPr="0002126E">
        <w:rPr>
          <w:rFonts w:ascii="Times New Roman" w:hAnsi="Times New Roman" w:cs="Times New Roman"/>
          <w:color w:val="221E1F"/>
          <w:sz w:val="26"/>
          <w:szCs w:val="26"/>
        </w:rPr>
        <w:t>В численность населения, временно находившегося на территории России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дату</w:t>
      </w:r>
      <w:r w:rsidR="0002126E" w:rsidRPr="0002126E">
        <w:rPr>
          <w:rFonts w:ascii="Times New Roman" w:hAnsi="Times New Roman" w:cs="Times New Roman"/>
          <w:color w:val="221E1F"/>
          <w:sz w:val="26"/>
          <w:szCs w:val="26"/>
        </w:rPr>
        <w:t xml:space="preserve"> переписи, но постоянно проживавшего за рубежом, вошли лица (независимо от их гражданства), прибывшие в Российскую Федерацию на срок </w:t>
      </w:r>
      <w:r w:rsidR="008C19DE">
        <w:rPr>
          <w:rFonts w:ascii="Times New Roman" w:hAnsi="Times New Roman" w:cs="Times New Roman"/>
          <w:color w:val="221E1F"/>
          <w:sz w:val="26"/>
          <w:szCs w:val="26"/>
        </w:rPr>
        <w:br/>
      </w:r>
      <w:r w:rsidR="0002126E" w:rsidRPr="0002126E">
        <w:rPr>
          <w:rFonts w:ascii="Times New Roman" w:hAnsi="Times New Roman" w:cs="Times New Roman"/>
          <w:color w:val="221E1F"/>
          <w:sz w:val="26"/>
          <w:szCs w:val="26"/>
        </w:rPr>
        <w:t>до 1 года на учебу или работу, прибывшие независимо от срока на отдых, для лечения, в</w:t>
      </w:r>
      <w:r w:rsidR="0046108B">
        <w:rPr>
          <w:rFonts w:ascii="Times New Roman" w:hAnsi="Times New Roman" w:cs="Times New Roman"/>
          <w:color w:val="221E1F"/>
          <w:sz w:val="26"/>
          <w:szCs w:val="26"/>
        </w:rPr>
        <w:t> </w:t>
      </w:r>
      <w:r w:rsidR="0002126E" w:rsidRPr="0002126E">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Программа Всероссийской переписи населения 2020 года</w:t>
      </w:r>
      <w:r w:rsidRPr="0002126E">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Образцы форм переписных листов приведены в Приложении. Форма и те</w:t>
      </w:r>
      <w:proofErr w:type="gramStart"/>
      <w:r w:rsidRPr="0002126E">
        <w:rPr>
          <w:rFonts w:ascii="Times New Roman" w:hAnsi="Times New Roman" w:cs="Times New Roman"/>
          <w:color w:val="221E1F"/>
          <w:sz w:val="26"/>
          <w:szCs w:val="26"/>
        </w:rPr>
        <w:t>кст бл</w:t>
      </w:r>
      <w:proofErr w:type="gramEnd"/>
      <w:r w:rsidRPr="0002126E">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пользования языками, источников сре</w:t>
      </w:r>
      <w:proofErr w:type="gramStart"/>
      <w:r w:rsidRPr="0002126E">
        <w:rPr>
          <w:rFonts w:ascii="Times New Roman" w:hAnsi="Times New Roman" w:cs="Times New Roman"/>
          <w:color w:val="221E1F"/>
          <w:sz w:val="26"/>
          <w:szCs w:val="26"/>
        </w:rPr>
        <w:t>дств к с</w:t>
      </w:r>
      <w:proofErr w:type="gramEnd"/>
      <w:r w:rsidRPr="0002126E">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Метод переписи.</w:t>
      </w:r>
      <w:r w:rsidRPr="0002126E">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жителях, не переписавшихся на ЕПГУ.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Вопросы задавались населению в той формулировке, которая дана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переписных листах. Запись сведений в переписные листы производилась со </w:t>
      </w:r>
      <w:proofErr w:type="gramStart"/>
      <w:r w:rsidRPr="0002126E">
        <w:rPr>
          <w:rFonts w:ascii="Times New Roman" w:hAnsi="Times New Roman" w:cs="Times New Roman"/>
          <w:color w:val="221E1F"/>
          <w:sz w:val="26"/>
          <w:szCs w:val="26"/>
        </w:rPr>
        <w:t>слов</w:t>
      </w:r>
      <w:proofErr w:type="gramEnd"/>
      <w:r w:rsidRPr="0002126E">
        <w:rPr>
          <w:rFonts w:ascii="Times New Roman" w:hAnsi="Times New Roman" w:cs="Times New Roman"/>
          <w:color w:val="221E1F"/>
          <w:sz w:val="26"/>
          <w:szCs w:val="2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Контрольные мероприятия.</w:t>
      </w:r>
      <w:r w:rsidRPr="0002126E">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02126E">
        <w:rPr>
          <w:rFonts w:ascii="Times New Roman" w:hAnsi="Times New Roman" w:cs="Times New Roman"/>
          <w:color w:val="221E1F"/>
          <w:sz w:val="26"/>
          <w:szCs w:val="26"/>
        </w:rPr>
        <w:t>контроля за</w:t>
      </w:r>
      <w:proofErr w:type="gramEnd"/>
      <w:r w:rsidRPr="0002126E">
        <w:rPr>
          <w:rFonts w:ascii="Times New Roman" w:hAnsi="Times New Roman" w:cs="Times New Roman"/>
          <w:color w:val="221E1F"/>
          <w:sz w:val="26"/>
          <w:szCs w:val="26"/>
        </w:rPr>
        <w:t xml:space="preserve"> заполнением переписных листов» и выдавалась справка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постоянно проживающим за рубежом.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счетном участке для проверки полноты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правильности переписи. Люди, пропущенные в ходе переписи и выявленные во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rsidR="000C7170" w:rsidRPr="000C7170"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Итоги переписи.</w:t>
      </w:r>
      <w:r w:rsidRPr="0002126E">
        <w:rPr>
          <w:rFonts w:ascii="Times New Roman" w:hAnsi="Times New Roman" w:cs="Times New Roman"/>
          <w:color w:val="221E1F"/>
          <w:sz w:val="26"/>
          <w:szCs w:val="26"/>
        </w:rPr>
        <w:t xml:space="preserve"> Данные переписи населения 2020 года, полученные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Разработка итогов перепис</w:t>
      </w:r>
      <w:r w:rsidR="001B51BB">
        <w:rPr>
          <w:rFonts w:ascii="Times New Roman" w:hAnsi="Times New Roman" w:cs="Times New Roman"/>
          <w:color w:val="221E1F"/>
          <w:sz w:val="26"/>
          <w:szCs w:val="26"/>
        </w:rPr>
        <w:t>и</w:t>
      </w:r>
      <w:r w:rsidRPr="0002126E">
        <w:rPr>
          <w:rFonts w:ascii="Times New Roman" w:hAnsi="Times New Roman" w:cs="Times New Roman"/>
          <w:color w:val="221E1F"/>
          <w:sz w:val="26"/>
          <w:szCs w:val="26"/>
        </w:rPr>
        <w:t xml:space="preserve"> населения проводилась только в соответствии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муниципальным делением, тогда как итоги переписей населения, проводившихся </w:t>
      </w:r>
      <w:r w:rsidRPr="0002126E">
        <w:rPr>
          <w:rFonts w:ascii="Times New Roman" w:hAnsi="Times New Roman" w:cs="Times New Roman"/>
          <w:color w:val="221E1F"/>
          <w:sz w:val="26"/>
          <w:szCs w:val="26"/>
        </w:rPr>
        <w:lastRenderedPageBreak/>
        <w:t>в 2010 году и ранее, разрабатывались в соответствии с административно- территориальным делением субъектов Российской Федерации. При этом итоги Всероссийской переписи населения 2010 года формировались как</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по</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 xml:space="preserve">административно-территориальному делению, так и по муниципальным образованиям </w:t>
      </w:r>
      <w:r w:rsidR="008C19DE">
        <w:rPr>
          <w:rFonts w:ascii="Times New Roman" w:hAnsi="Times New Roman" w:cs="Times New Roman"/>
          <w:color w:val="221E1F"/>
          <w:sz w:val="26"/>
          <w:szCs w:val="26"/>
        </w:rPr>
        <w:t>субъектов Российской Федерации.</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 xml:space="preserve">Возраст. </w:t>
      </w:r>
      <w:r w:rsidRPr="006F11B7">
        <w:rPr>
          <w:rFonts w:ascii="Times New Roman" w:hAnsi="Times New Roman" w:cs="Times New Roman"/>
          <w:sz w:val="26"/>
          <w:szCs w:val="26"/>
        </w:rPr>
        <w:t xml:space="preserve">Данные о возрасте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w:t>
      </w:r>
      <w:r w:rsidR="008C19DE">
        <w:rPr>
          <w:rFonts w:ascii="Times New Roman" w:hAnsi="Times New Roman" w:cs="Times New Roman"/>
          <w:sz w:val="26"/>
          <w:szCs w:val="26"/>
        </w:rPr>
        <w:br/>
      </w:r>
      <w:r w:rsidRPr="006F11B7">
        <w:rPr>
          <w:rFonts w:ascii="Times New Roman" w:hAnsi="Times New Roman" w:cs="Times New Roman"/>
          <w:sz w:val="26"/>
          <w:szCs w:val="26"/>
        </w:rPr>
        <w:t xml:space="preserve">в таблицах отсутствует группа «Возраст не указан». </w:t>
      </w:r>
      <w:proofErr w:type="gramStart"/>
      <w:r w:rsidRPr="006F11B7">
        <w:rPr>
          <w:rFonts w:ascii="Times New Roman" w:hAnsi="Times New Roman" w:cs="Times New Roman"/>
          <w:sz w:val="26"/>
          <w:szCs w:val="26"/>
        </w:rPr>
        <w:t xml:space="preserve">В таблицах 1 и 2 наряду </w:t>
      </w:r>
      <w:r w:rsidR="008C19DE">
        <w:rPr>
          <w:rFonts w:ascii="Times New Roman" w:hAnsi="Times New Roman" w:cs="Times New Roman"/>
          <w:sz w:val="26"/>
          <w:szCs w:val="26"/>
        </w:rPr>
        <w:br/>
      </w:r>
      <w:r w:rsidRPr="006F11B7">
        <w:rPr>
          <w:rFonts w:ascii="Times New Roman" w:hAnsi="Times New Roman" w:cs="Times New Roman"/>
          <w:sz w:val="26"/>
          <w:szCs w:val="26"/>
        </w:rPr>
        <w:t xml:space="preserve">с возрастной структурой населения, представленной по одногодичным возрастам и пятилетним возрастным группам, приводятся также данные по отдельным укрупненным возрастным группам, используемым в различных расчетах </w:t>
      </w:r>
      <w:r w:rsidR="008C19DE">
        <w:rPr>
          <w:rFonts w:ascii="Times New Roman" w:hAnsi="Times New Roman" w:cs="Times New Roman"/>
          <w:sz w:val="26"/>
          <w:szCs w:val="26"/>
        </w:rPr>
        <w:br/>
      </w:r>
      <w:r w:rsidRPr="006F11B7">
        <w:rPr>
          <w:rFonts w:ascii="Times New Roman" w:hAnsi="Times New Roman" w:cs="Times New Roman"/>
          <w:sz w:val="26"/>
          <w:szCs w:val="26"/>
        </w:rPr>
        <w:t xml:space="preserve">при анализе информации и разработке социально–экономических программ. </w:t>
      </w:r>
      <w:proofErr w:type="gramEnd"/>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sz w:val="26"/>
          <w:szCs w:val="26"/>
        </w:rPr>
        <w:t>Такими группами являются: население моложе трудоспособного возраста, к которому относятся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tblPr>
      <w:tblGrid>
        <w:gridCol w:w="2633"/>
        <w:gridCol w:w="3469"/>
        <w:gridCol w:w="3469"/>
      </w:tblGrid>
      <w:tr w:rsidR="00287905" w:rsidRPr="006F11B7" w:rsidTr="00760077">
        <w:tc>
          <w:tcPr>
            <w:tcW w:w="2633" w:type="dxa"/>
          </w:tcPr>
          <w:p w:rsidR="00287905" w:rsidRPr="006F11B7" w:rsidRDefault="00287905" w:rsidP="00287905">
            <w:pPr>
              <w:jc w:val="both"/>
              <w:rPr>
                <w:rFonts w:ascii="Times New Roman" w:hAnsi="Times New Roman" w:cs="Times New Roman"/>
                <w:sz w:val="26"/>
                <w:szCs w:val="26"/>
              </w:rPr>
            </w:pP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Всероссийская перепись населения 2020 года</w:t>
            </w: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Всероссийская перепись населения 2010 года</w:t>
            </w:r>
          </w:p>
        </w:tc>
      </w:tr>
      <w:tr w:rsidR="00287905" w:rsidRPr="006F11B7" w:rsidTr="00760077">
        <w:tc>
          <w:tcPr>
            <w:tcW w:w="2633"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население трудоспособного возраста</w:t>
            </w: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мужчины 16-61,5 лет, женщины 16-56,5 лет</w:t>
            </w: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мужчины 16-59 лет,</w:t>
            </w:r>
          </w:p>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женщины 16-54 лет</w:t>
            </w:r>
          </w:p>
        </w:tc>
      </w:tr>
      <w:tr w:rsidR="00287905" w:rsidRPr="006F11B7" w:rsidTr="00760077">
        <w:tc>
          <w:tcPr>
            <w:tcW w:w="2633"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население старше трудоспособного возраста</w:t>
            </w: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мужчины 61,5 лет и более, женщины 56,5 лет и более</w:t>
            </w:r>
          </w:p>
        </w:tc>
        <w:tc>
          <w:tcPr>
            <w:tcW w:w="3469" w:type="dxa"/>
          </w:tcPr>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мужчины 60 лет и более,</w:t>
            </w:r>
          </w:p>
          <w:p w:rsidR="00287905" w:rsidRPr="006F11B7" w:rsidRDefault="00287905" w:rsidP="00287905">
            <w:pPr>
              <w:jc w:val="center"/>
              <w:rPr>
                <w:rFonts w:ascii="Times New Roman" w:hAnsi="Times New Roman" w:cs="Times New Roman"/>
                <w:sz w:val="26"/>
                <w:szCs w:val="26"/>
              </w:rPr>
            </w:pPr>
            <w:r w:rsidRPr="006F11B7">
              <w:rPr>
                <w:rFonts w:ascii="Times New Roman" w:hAnsi="Times New Roman" w:cs="Times New Roman"/>
                <w:sz w:val="26"/>
                <w:szCs w:val="26"/>
              </w:rPr>
              <w:t>женщины 55 лет и более</w:t>
            </w:r>
          </w:p>
        </w:tc>
      </w:tr>
    </w:tbl>
    <w:p w:rsidR="00287905" w:rsidRPr="006F11B7" w:rsidRDefault="00287905" w:rsidP="00287905">
      <w:pPr>
        <w:spacing w:before="120" w:after="0" w:line="240" w:lineRule="auto"/>
        <w:ind w:firstLine="709"/>
        <w:jc w:val="both"/>
        <w:rPr>
          <w:rFonts w:ascii="Times New Roman" w:hAnsi="Times New Roman" w:cs="Times New Roman"/>
          <w:sz w:val="26"/>
          <w:szCs w:val="26"/>
        </w:rPr>
      </w:pPr>
      <w:r w:rsidRPr="006F11B7">
        <w:rPr>
          <w:rFonts w:ascii="Times New Roman" w:hAnsi="Times New Roman" w:cs="Times New Roman"/>
          <w:sz w:val="26"/>
          <w:szCs w:val="26"/>
        </w:rPr>
        <w:t>Кроме того, в таблицах 1 и 2 представлены наиболее востребованные аналитиками возрастные группы: дети 0-6 лет, 0-13 лет и 7-14 лет, дети и подростки 0-17 лет, молодежь 16-29 лет, 14-35 лет и 16-35 лет.</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sz w:val="26"/>
          <w:szCs w:val="26"/>
        </w:rPr>
        <w:t>В таблице 4 представлены данные о демографической нагрузке на население трудоспособного возраста.</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Медианный возраст.</w:t>
      </w:r>
      <w:r w:rsidRPr="006F11B7">
        <w:rPr>
          <w:rFonts w:ascii="Times New Roman" w:hAnsi="Times New Roman" w:cs="Times New Roman"/>
          <w:sz w:val="26"/>
          <w:szCs w:val="26"/>
        </w:rPr>
        <w:t xml:space="preserve"> Медианный возраст, представленный в таблицах 1 и 2,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Средний возраст.</w:t>
      </w:r>
      <w:r w:rsidRPr="006F11B7">
        <w:rPr>
          <w:rFonts w:ascii="Times New Roman" w:hAnsi="Times New Roman" w:cs="Times New Roman"/>
          <w:sz w:val="26"/>
          <w:szCs w:val="26"/>
        </w:rPr>
        <w:t xml:space="preserve"> Средний возраст, представленный в таблицах 1 и 2, вычисляется как среднее арифметическое из значений возрастов всех людей </w:t>
      </w:r>
      <w:r w:rsidR="008C19DE">
        <w:rPr>
          <w:rFonts w:ascii="Times New Roman" w:hAnsi="Times New Roman" w:cs="Times New Roman"/>
          <w:sz w:val="26"/>
          <w:szCs w:val="26"/>
        </w:rPr>
        <w:br/>
      </w:r>
      <w:r w:rsidRPr="006F11B7">
        <w:rPr>
          <w:rFonts w:ascii="Times New Roman" w:hAnsi="Times New Roman" w:cs="Times New Roman"/>
          <w:sz w:val="26"/>
          <w:szCs w:val="26"/>
        </w:rPr>
        <w:lastRenderedPageBreak/>
        <w:t>в данном населении. Расчет среднего возраста произведен на основе распределения численности населения по однолетним возрастным интервалам.</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Состояние в браке.</w:t>
      </w:r>
      <w:r w:rsidRPr="006F11B7">
        <w:rPr>
          <w:rFonts w:ascii="Times New Roman" w:hAnsi="Times New Roman" w:cs="Times New Roman"/>
          <w:sz w:val="26"/>
          <w:szCs w:val="26"/>
        </w:rPr>
        <w:t xml:space="preserve"> </w:t>
      </w:r>
      <w:proofErr w:type="gramStart"/>
      <w:r w:rsidRPr="006F11B7">
        <w:rPr>
          <w:rFonts w:ascii="Times New Roman" w:hAnsi="Times New Roman" w:cs="Times New Roman"/>
          <w:sz w:val="26"/>
          <w:szCs w:val="26"/>
        </w:rPr>
        <w:t>Данные о состоянии в браке, представленные в</w:t>
      </w:r>
      <w:r>
        <w:rPr>
          <w:rFonts w:ascii="Times New Roman" w:hAnsi="Times New Roman" w:cs="Times New Roman"/>
          <w:sz w:val="26"/>
          <w:szCs w:val="26"/>
        </w:rPr>
        <w:t> </w:t>
      </w:r>
      <w:r w:rsidRPr="006F11B7">
        <w:rPr>
          <w:rFonts w:ascii="Times New Roman" w:hAnsi="Times New Roman" w:cs="Times New Roman"/>
          <w:sz w:val="26"/>
          <w:szCs w:val="26"/>
        </w:rPr>
        <w:t>таблице</w:t>
      </w:r>
      <w:r>
        <w:rPr>
          <w:rFonts w:ascii="Times New Roman" w:hAnsi="Times New Roman" w:cs="Times New Roman"/>
          <w:sz w:val="26"/>
          <w:szCs w:val="26"/>
        </w:rPr>
        <w:t> </w:t>
      </w:r>
      <w:r w:rsidRPr="006F11B7">
        <w:rPr>
          <w:rFonts w:ascii="Times New Roman" w:hAnsi="Times New Roman" w:cs="Times New Roman"/>
          <w:sz w:val="26"/>
          <w:szCs w:val="26"/>
        </w:rPr>
        <w:t>5, получены на основе ответов на вопрос 4 переписных листов формы Л. Вопрос о состоянии в браке заполнялся для всех лиц в возрасте 16 лет и более, а</w:t>
      </w:r>
      <w:r>
        <w:rPr>
          <w:rFonts w:ascii="Times New Roman" w:hAnsi="Times New Roman" w:cs="Times New Roman"/>
          <w:sz w:val="26"/>
          <w:szCs w:val="26"/>
        </w:rPr>
        <w:t> </w:t>
      </w:r>
      <w:r w:rsidRPr="006F11B7">
        <w:rPr>
          <w:rFonts w:ascii="Times New Roman" w:hAnsi="Times New Roman" w:cs="Times New Roman"/>
          <w:sz w:val="26"/>
          <w:szCs w:val="26"/>
        </w:rPr>
        <w:t xml:space="preserve">также для тех респондентов в возрасте моложе 16 лет, которые фактически </w:t>
      </w:r>
      <w:r w:rsidR="008C19DE">
        <w:rPr>
          <w:rFonts w:ascii="Times New Roman" w:hAnsi="Times New Roman" w:cs="Times New Roman"/>
          <w:sz w:val="26"/>
          <w:szCs w:val="26"/>
        </w:rPr>
        <w:br/>
      </w:r>
      <w:r w:rsidRPr="006F11B7">
        <w:rPr>
          <w:rFonts w:ascii="Times New Roman" w:hAnsi="Times New Roman" w:cs="Times New Roman"/>
          <w:sz w:val="26"/>
          <w:szCs w:val="26"/>
        </w:rPr>
        <w:t xml:space="preserve">на дату переписи или ранее состояли в зарегистрированном браке или незарегистрированном супружеском союзе. </w:t>
      </w:r>
      <w:proofErr w:type="gramEnd"/>
    </w:p>
    <w:p w:rsidR="00287905" w:rsidRPr="006F11B7" w:rsidRDefault="00287905" w:rsidP="00287905">
      <w:pPr>
        <w:spacing w:after="0" w:line="240" w:lineRule="auto"/>
        <w:ind w:firstLine="709"/>
        <w:jc w:val="both"/>
        <w:rPr>
          <w:rFonts w:ascii="Times New Roman" w:hAnsi="Times New Roman" w:cs="Times New Roman"/>
          <w:sz w:val="26"/>
          <w:szCs w:val="26"/>
        </w:rPr>
      </w:pPr>
      <w:proofErr w:type="gramStart"/>
      <w:r w:rsidRPr="006F11B7">
        <w:rPr>
          <w:rFonts w:ascii="Times New Roman" w:hAnsi="Times New Roman" w:cs="Times New Roman"/>
          <w:sz w:val="26"/>
          <w:szCs w:val="26"/>
        </w:rPr>
        <w:t xml:space="preserve">Население по состоянию в браке классифицируется как состоящие 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а на дату переписи </w:t>
      </w:r>
      <w:r w:rsidR="008C19DE">
        <w:rPr>
          <w:rFonts w:ascii="Times New Roman" w:hAnsi="Times New Roman" w:cs="Times New Roman"/>
          <w:sz w:val="26"/>
          <w:szCs w:val="26"/>
        </w:rPr>
        <w:br/>
      </w:r>
      <w:r w:rsidRPr="006F11B7">
        <w:rPr>
          <w:rFonts w:ascii="Times New Roman" w:hAnsi="Times New Roman" w:cs="Times New Roman"/>
          <w:sz w:val="26"/>
          <w:szCs w:val="26"/>
        </w:rPr>
        <w:t>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w:t>
      </w:r>
      <w:proofErr w:type="gramEnd"/>
      <w:r w:rsidRPr="006F11B7">
        <w:rPr>
          <w:rFonts w:ascii="Times New Roman" w:hAnsi="Times New Roman" w:cs="Times New Roman"/>
          <w:sz w:val="26"/>
          <w:szCs w:val="26"/>
        </w:rPr>
        <w:t xml:space="preserve">, а также кто ранее состоял в зарегистрированном браке, </w:t>
      </w:r>
      <w:r w:rsidR="008C19DE">
        <w:rPr>
          <w:rFonts w:ascii="Times New Roman" w:hAnsi="Times New Roman" w:cs="Times New Roman"/>
          <w:sz w:val="26"/>
          <w:szCs w:val="26"/>
        </w:rPr>
        <w:br/>
      </w:r>
      <w:r w:rsidRPr="006F11B7">
        <w:rPr>
          <w:rFonts w:ascii="Times New Roman" w:hAnsi="Times New Roman" w:cs="Times New Roman"/>
          <w:sz w:val="26"/>
          <w:szCs w:val="26"/>
        </w:rPr>
        <w:t>а на дату переписи разошлись без оформления развода в органах ЗАГС), вдовые.</w:t>
      </w:r>
    </w:p>
    <w:p w:rsidR="00287905"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sz w:val="26"/>
          <w:szCs w:val="26"/>
        </w:rPr>
        <w:t xml:space="preserve">Законодательно установленный в Российской Федерации минимальный возраст вступления в брак – 18 </w:t>
      </w:r>
      <w:proofErr w:type="gramStart"/>
      <w:r w:rsidRPr="006F11B7">
        <w:rPr>
          <w:rFonts w:ascii="Times New Roman" w:hAnsi="Times New Roman" w:cs="Times New Roman"/>
          <w:sz w:val="26"/>
          <w:szCs w:val="26"/>
        </w:rPr>
        <w:t>лет</w:t>
      </w:r>
      <w:proofErr w:type="gramEnd"/>
      <w:r w:rsidRPr="006F11B7">
        <w:rPr>
          <w:rFonts w:ascii="Times New Roman" w:hAnsi="Times New Roman" w:cs="Times New Roman"/>
          <w:sz w:val="26"/>
          <w:szCs w:val="26"/>
        </w:rPr>
        <w:t xml:space="preserve"> как для мужчин, так и для женщин. По решению органов местного самоуправления этот возраст может быть снижен в отдельных случаях до 16 лет.</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b/>
          <w:sz w:val="26"/>
          <w:szCs w:val="26"/>
        </w:rPr>
        <w:t>Образование.</w:t>
      </w:r>
      <w:r w:rsidRPr="00760077">
        <w:rPr>
          <w:rFonts w:ascii="Times New Roman" w:hAnsi="Times New Roman" w:cs="Times New Roman"/>
          <w:sz w:val="26"/>
          <w:szCs w:val="26"/>
        </w:rPr>
        <w:t xml:space="preserve"> Данные об образовании 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760077">
        <w:rPr>
          <w:rFonts w:ascii="Times New Roman" w:hAnsi="Times New Roman" w:cs="Times New Roman"/>
          <w:sz w:val="26"/>
          <w:szCs w:val="26"/>
        </w:rPr>
        <w:t>достигнутых</w:t>
      </w:r>
      <w:proofErr w:type="gramEnd"/>
      <w:r w:rsidRPr="00760077">
        <w:rPr>
          <w:rFonts w:ascii="Times New Roman" w:hAnsi="Times New Roman" w:cs="Times New Roman"/>
          <w:sz w:val="26"/>
          <w:szCs w:val="26"/>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1 и 4 население распределено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по следующим уровням образования: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кадры высшей квалификации (ранее – </w:t>
      </w:r>
      <w:proofErr w:type="gramStart"/>
      <w:r w:rsidRPr="00760077">
        <w:rPr>
          <w:rFonts w:ascii="Times New Roman" w:hAnsi="Times New Roman" w:cs="Times New Roman"/>
          <w:sz w:val="26"/>
          <w:szCs w:val="26"/>
        </w:rPr>
        <w:t>послевузовское</w:t>
      </w:r>
      <w:proofErr w:type="gramEnd"/>
      <w:r w:rsidRPr="00760077">
        <w:rPr>
          <w:rFonts w:ascii="Times New Roman" w:hAnsi="Times New Roman" w:cs="Times New Roman"/>
          <w:sz w:val="26"/>
          <w:szCs w:val="26"/>
        </w:rPr>
        <w:t xml:space="preserve">) – лица, окончившие аспирантуру, докторантуру, ординатуру и адъюнктуру (независимо от защиты диссертации);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высшее профессиональное – лица, окончившие </w:t>
      </w:r>
      <w:r w:rsidRPr="00760077">
        <w:rPr>
          <w:rFonts w:ascii="Times New Roman" w:hAnsi="Times New Roman" w:cs="Times New Roman"/>
          <w:color w:val="22272F"/>
          <w:sz w:val="26"/>
          <w:szCs w:val="26"/>
          <w:shd w:val="clear" w:color="auto" w:fill="FFFFFF"/>
        </w:rPr>
        <w:t>образовательную организацию высшего образования</w:t>
      </w:r>
      <w:r w:rsidRPr="00760077">
        <w:rPr>
          <w:rFonts w:ascii="Times New Roman" w:hAnsi="Times New Roman" w:cs="Times New Roman"/>
          <w:sz w:val="26"/>
          <w:szCs w:val="26"/>
        </w:rPr>
        <w:t xml:space="preserve">: институт, академию, университет и т. п.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по ступеням: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spellStart"/>
      <w:r w:rsidRPr="00760077">
        <w:rPr>
          <w:rFonts w:ascii="Times New Roman" w:hAnsi="Times New Roman" w:cs="Times New Roman"/>
          <w:sz w:val="26"/>
          <w:szCs w:val="26"/>
        </w:rPr>
        <w:t>бакалавриат</w:t>
      </w:r>
      <w:proofErr w:type="spellEnd"/>
      <w:r w:rsidRPr="00760077">
        <w:rPr>
          <w:rFonts w:ascii="Times New Roman" w:hAnsi="Times New Roman" w:cs="Times New Roman"/>
          <w:sz w:val="26"/>
          <w:szCs w:val="26"/>
        </w:rPr>
        <w:t xml:space="preserve"> – обучавшиеся в </w:t>
      </w:r>
      <w:r w:rsidRPr="00760077">
        <w:rPr>
          <w:rFonts w:ascii="Times New Roman" w:hAnsi="Times New Roman" w:cs="Times New Roman"/>
          <w:color w:val="22272F"/>
          <w:sz w:val="26"/>
          <w:szCs w:val="26"/>
          <w:shd w:val="clear" w:color="auto" w:fill="FFFFFF"/>
        </w:rPr>
        <w:t>образовательной организации высшего образования</w:t>
      </w:r>
      <w:r w:rsidRPr="00760077">
        <w:rPr>
          <w:rFonts w:ascii="Times New Roman" w:hAnsi="Times New Roman" w:cs="Times New Roman"/>
          <w:sz w:val="26"/>
          <w:szCs w:val="26"/>
        </w:rPr>
        <w:t xml:space="preserve"> не менее 4-х лет и получившие аттестацию по квалификации «бакалавр»;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spellStart"/>
      <w:r w:rsidRPr="00760077">
        <w:rPr>
          <w:rFonts w:ascii="Times New Roman" w:hAnsi="Times New Roman" w:cs="Times New Roman"/>
          <w:sz w:val="26"/>
          <w:szCs w:val="26"/>
        </w:rPr>
        <w:t>специалитет</w:t>
      </w:r>
      <w:proofErr w:type="spellEnd"/>
      <w:r w:rsidRPr="00760077">
        <w:rPr>
          <w:rFonts w:ascii="Times New Roman" w:hAnsi="Times New Roman" w:cs="Times New Roman"/>
          <w:sz w:val="26"/>
          <w:szCs w:val="26"/>
        </w:rPr>
        <w:t xml:space="preserve"> – получившие аттестацию по квалификации «специалист»,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а так же окончившие вуз до 1995 года (включая выпускников вузов СССР);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магистратура – обучавшиеся в </w:t>
      </w:r>
      <w:r w:rsidRPr="00760077">
        <w:rPr>
          <w:rFonts w:ascii="Times New Roman" w:hAnsi="Times New Roman" w:cs="Times New Roman"/>
          <w:color w:val="22272F"/>
          <w:sz w:val="26"/>
          <w:szCs w:val="26"/>
          <w:shd w:val="clear" w:color="auto" w:fill="FFFFFF"/>
        </w:rPr>
        <w:t>образовательной организации высшего образования</w:t>
      </w:r>
      <w:r w:rsidRPr="00760077">
        <w:rPr>
          <w:rFonts w:ascii="Times New Roman" w:hAnsi="Times New Roman" w:cs="Times New Roman"/>
          <w:sz w:val="26"/>
          <w:szCs w:val="26"/>
        </w:rPr>
        <w:t xml:space="preserve"> не менее 6-ти лет и аттестованные по квалификации «магистр»;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lastRenderedPageBreak/>
        <w:t xml:space="preserve">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2-х лет срока обучения и получившие диплом </w:t>
      </w:r>
      <w:r w:rsidR="008C19DE">
        <w:rPr>
          <w:rFonts w:ascii="Times New Roman" w:hAnsi="Times New Roman" w:cs="Times New Roman"/>
          <w:sz w:val="26"/>
          <w:szCs w:val="26"/>
        </w:rPr>
        <w:br/>
      </w:r>
      <w:r w:rsidRPr="00760077">
        <w:rPr>
          <w:rFonts w:ascii="Times New Roman" w:hAnsi="Times New Roman" w:cs="Times New Roman"/>
          <w:sz w:val="26"/>
          <w:szCs w:val="26"/>
        </w:rPr>
        <w:t>о неполном высшем профессиональном образовании.</w:t>
      </w:r>
      <w:proofErr w:type="gramEnd"/>
      <w:r w:rsidRPr="00760077">
        <w:rPr>
          <w:rFonts w:ascii="Times New Roman" w:hAnsi="Times New Roman" w:cs="Times New Roman"/>
          <w:sz w:val="26"/>
          <w:szCs w:val="26"/>
        </w:rPr>
        <w:t xml:space="preserve"> Этот уровень отмечался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и тем, кто до 2007 года закончил обучение без получения документа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об образовании по образовательной программе высшего образования в объеме не менее половины срока обучения;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среднее профессиональное – </w:t>
      </w:r>
      <w:proofErr w:type="gramStart"/>
      <w:r w:rsidRPr="00760077">
        <w:rPr>
          <w:rFonts w:ascii="Times New Roman" w:hAnsi="Times New Roman" w:cs="Times New Roman"/>
          <w:sz w:val="26"/>
          <w:szCs w:val="26"/>
        </w:rPr>
        <w:t>окончившие</w:t>
      </w:r>
      <w:proofErr w:type="gramEnd"/>
      <w:r w:rsidRPr="00760077">
        <w:rPr>
          <w:rFonts w:ascii="Times New Roman" w:hAnsi="Times New Roman" w:cs="Times New Roman"/>
          <w:sz w:val="26"/>
          <w:szCs w:val="26"/>
        </w:rPr>
        <w:t xml:space="preserve"> </w:t>
      </w:r>
      <w:r w:rsidRPr="00760077">
        <w:rPr>
          <w:rFonts w:ascii="Times New Roman" w:hAnsi="Times New Roman" w:cs="Times New Roman"/>
          <w:color w:val="22272F"/>
          <w:sz w:val="26"/>
          <w:szCs w:val="26"/>
          <w:shd w:val="clear" w:color="auto" w:fill="FFFFFF"/>
        </w:rPr>
        <w:t>профессиональную образовательную организацию</w:t>
      </w:r>
      <w:r w:rsidRPr="00760077">
        <w:rPr>
          <w:rFonts w:ascii="Times New Roman" w:hAnsi="Times New Roman" w:cs="Times New Roman"/>
          <w:sz w:val="26"/>
          <w:szCs w:val="26"/>
        </w:rPr>
        <w:t xml:space="preserve"> по ступеням: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760077">
        <w:rPr>
          <w:rFonts w:ascii="Times New Roman" w:hAnsi="Times New Roman" w:cs="Times New Roman"/>
          <w:sz w:val="26"/>
          <w:szCs w:val="26"/>
        </w:rPr>
        <w:t xml:space="preserve"> Этот уровень соответствует начальному профессиональному образованию в прошлом;</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 специалист среднего звена – </w:t>
      </w:r>
      <w:proofErr w:type="gramStart"/>
      <w:r w:rsidRPr="00760077">
        <w:rPr>
          <w:rFonts w:ascii="Times New Roman" w:hAnsi="Times New Roman" w:cs="Times New Roman"/>
          <w:sz w:val="26"/>
          <w:szCs w:val="26"/>
        </w:rPr>
        <w:t>окончившие</w:t>
      </w:r>
      <w:proofErr w:type="gramEnd"/>
      <w:r w:rsidRPr="00760077">
        <w:rPr>
          <w:rFonts w:ascii="Times New Roman" w:hAnsi="Times New Roman" w:cs="Times New Roman"/>
          <w:sz w:val="26"/>
          <w:szCs w:val="26"/>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начальное общее – окончившие начальную общеобразовательную школу,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а также учащиеся 4-9 классов общеобразовательной организации;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t>дошкольное</w:t>
      </w:r>
      <w:proofErr w:type="gramEnd"/>
      <w:r w:rsidRPr="00760077">
        <w:rPr>
          <w:rFonts w:ascii="Times New Roman" w:hAnsi="Times New Roman" w:cs="Times New Roman"/>
          <w:sz w:val="26"/>
          <w:szCs w:val="26"/>
        </w:rPr>
        <w:t xml:space="preserve"> – обучавшиеся по программе дошкольного образования и не получившие уровня начального общего образования.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Учащимся и окончившим образовательную организацию</w:t>
      </w:r>
      <w:r w:rsidRPr="00760077">
        <w:rPr>
          <w:rFonts w:ascii="Times New Roman" w:hAnsi="Times New Roman" w:cs="Times New Roman"/>
          <w:color w:val="22272F"/>
          <w:sz w:val="26"/>
          <w:szCs w:val="26"/>
          <w:shd w:val="clear" w:color="auto" w:fill="FFFFFF"/>
        </w:rPr>
        <w:t>, реализующую дополнительные образовательные программы</w:t>
      </w:r>
      <w:r w:rsidRPr="00760077">
        <w:rPr>
          <w:rFonts w:ascii="Times New Roman" w:hAnsi="Times New Roman" w:cs="Times New Roman"/>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до поступления в эти образовательные организации.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w:t>
      </w:r>
      <w:r w:rsidR="008C19DE">
        <w:rPr>
          <w:rFonts w:ascii="Times New Roman" w:hAnsi="Times New Roman" w:cs="Times New Roman"/>
          <w:sz w:val="26"/>
          <w:szCs w:val="26"/>
        </w:rPr>
        <w:br/>
      </w:r>
      <w:r w:rsidRPr="00760077">
        <w:rPr>
          <w:rFonts w:ascii="Times New Roman" w:hAnsi="Times New Roman" w:cs="Times New Roman"/>
          <w:sz w:val="26"/>
          <w:szCs w:val="26"/>
        </w:rPr>
        <w:t xml:space="preserve">не умевшие ни читать, ни писать, отнесены к неграмотным. Их численность представлена в таблицах 1 и </w:t>
      </w:r>
      <w:r w:rsidR="004E58AF">
        <w:rPr>
          <w:rFonts w:ascii="Times New Roman" w:hAnsi="Times New Roman" w:cs="Times New Roman"/>
          <w:sz w:val="26"/>
          <w:szCs w:val="26"/>
        </w:rPr>
        <w:t>3</w:t>
      </w:r>
      <w:bookmarkStart w:id="0" w:name="_GoBack"/>
      <w:bookmarkEnd w:id="0"/>
      <w:r w:rsidRPr="00760077">
        <w:rPr>
          <w:rFonts w:ascii="Times New Roman" w:hAnsi="Times New Roman" w:cs="Times New Roman"/>
          <w:sz w:val="26"/>
          <w:szCs w:val="26"/>
        </w:rPr>
        <w:t xml:space="preserve">.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В таблиц</w:t>
      </w:r>
      <w:r>
        <w:rPr>
          <w:rFonts w:ascii="Times New Roman" w:hAnsi="Times New Roman" w:cs="Times New Roman"/>
          <w:sz w:val="26"/>
          <w:szCs w:val="26"/>
        </w:rPr>
        <w:t>е</w:t>
      </w:r>
      <w:r w:rsidRPr="00760077">
        <w:rPr>
          <w:rFonts w:ascii="Times New Roman" w:hAnsi="Times New Roman" w:cs="Times New Roman"/>
          <w:sz w:val="26"/>
          <w:szCs w:val="26"/>
        </w:rPr>
        <w:t xml:space="preserve"> 2 приведены данные о населении, имеющем ученые степени кандидата наук и доктора наук, а также о кадрах вышей квалификации без ученой степени. Эта информация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w:t>
      </w:r>
      <w:proofErr w:type="spellStart"/>
      <w:r w:rsidRPr="00760077">
        <w:rPr>
          <w:rFonts w:ascii="Times New Roman" w:hAnsi="Times New Roman" w:cs="Times New Roman"/>
          <w:sz w:val="26"/>
          <w:szCs w:val="26"/>
        </w:rPr>
        <w:t>специалитет</w:t>
      </w:r>
      <w:proofErr w:type="spellEnd"/>
      <w:r w:rsidRPr="00760077">
        <w:rPr>
          <w:rFonts w:ascii="Times New Roman" w:hAnsi="Times New Roman" w:cs="Times New Roman"/>
          <w:sz w:val="26"/>
          <w:szCs w:val="26"/>
        </w:rPr>
        <w:t xml:space="preserve"> или магистратура, а также кадры высшей квалификации. Их количество приведено в гр. 3 и 4 таблиц</w:t>
      </w:r>
      <w:r>
        <w:rPr>
          <w:rFonts w:ascii="Times New Roman" w:hAnsi="Times New Roman" w:cs="Times New Roman"/>
          <w:sz w:val="26"/>
          <w:szCs w:val="26"/>
        </w:rPr>
        <w:t>ы</w:t>
      </w:r>
      <w:r w:rsidRPr="00760077">
        <w:rPr>
          <w:rFonts w:ascii="Times New Roman" w:hAnsi="Times New Roman" w:cs="Times New Roman"/>
          <w:sz w:val="26"/>
          <w:szCs w:val="26"/>
        </w:rPr>
        <w:t xml:space="preserve"> 2. Окончившие аспирантуру, докторантуру, ординатуру и адъюнктуру без защиты диссертации учтены в гр. 5 таблиц</w:t>
      </w:r>
      <w:r>
        <w:rPr>
          <w:rFonts w:ascii="Times New Roman" w:hAnsi="Times New Roman" w:cs="Times New Roman"/>
          <w:sz w:val="26"/>
          <w:szCs w:val="26"/>
        </w:rPr>
        <w:t>ы</w:t>
      </w:r>
      <w:r w:rsidRPr="00760077">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760077">
        <w:rPr>
          <w:rFonts w:ascii="Times New Roman" w:hAnsi="Times New Roman" w:cs="Times New Roman"/>
          <w:sz w:val="26"/>
          <w:szCs w:val="26"/>
        </w:rPr>
        <w:t xml:space="preserve">как кадры высшей квалификации, не имеющие ученой </w:t>
      </w:r>
      <w:r w:rsidRPr="00760077">
        <w:rPr>
          <w:rFonts w:ascii="Times New Roman" w:hAnsi="Times New Roman" w:cs="Times New Roman"/>
          <w:sz w:val="26"/>
          <w:szCs w:val="26"/>
        </w:rPr>
        <w:lastRenderedPageBreak/>
        <w:t>степени. В этой же графе учтены кадры высшей квалификации, не указавшие наличие ученой степени.</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В таблице </w:t>
      </w:r>
      <w:r>
        <w:rPr>
          <w:rFonts w:ascii="Times New Roman" w:hAnsi="Times New Roman" w:cs="Times New Roman"/>
          <w:sz w:val="26"/>
          <w:szCs w:val="26"/>
        </w:rPr>
        <w:t>3</w:t>
      </w:r>
      <w:r w:rsidRPr="00760077">
        <w:rPr>
          <w:rFonts w:ascii="Times New Roman" w:hAnsi="Times New Roman" w:cs="Times New Roman"/>
          <w:sz w:val="26"/>
          <w:szCs w:val="26"/>
        </w:rPr>
        <w:t xml:space="preserve"> представлено распределение по уровню образования </w:t>
      </w:r>
      <w:r w:rsidRPr="00760077">
        <w:rPr>
          <w:rFonts w:ascii="Times New Roman" w:hAnsi="Times New Roman" w:cs="Times New Roman"/>
          <w:b/>
          <w:sz w:val="26"/>
          <w:szCs w:val="26"/>
        </w:rPr>
        <w:t>занятого населения</w:t>
      </w:r>
      <w:r w:rsidRPr="00760077">
        <w:rPr>
          <w:rFonts w:ascii="Times New Roman" w:hAnsi="Times New Roman" w:cs="Times New Roman"/>
          <w:sz w:val="26"/>
          <w:szCs w:val="26"/>
        </w:rPr>
        <w:t xml:space="preserve"> частных домохозяйств в возрасте 15 лет и более. Занятыми считаются те, кто на неделе, предшествующей дате переписи, имел работу, приносящую заработок или доход. Информация получена от населения в возрасте 15 лет и более на основе сочетания ответов на вопросы 15 и 18 переписного листа формы Л. Графа «не имеющие образования» включает в себя как лиц, не имеющих начального общего образования, так и имеющих дошкольное образование.</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b/>
          <w:sz w:val="26"/>
          <w:szCs w:val="26"/>
        </w:rPr>
        <w:t>Обучение.</w:t>
      </w:r>
      <w:r w:rsidRPr="00760077">
        <w:rPr>
          <w:rFonts w:ascii="Times New Roman" w:hAnsi="Times New Roman" w:cs="Times New Roman"/>
          <w:sz w:val="26"/>
          <w:szCs w:val="26"/>
        </w:rPr>
        <w:t xml:space="preserve"> Данные о распределении населения, обучавшегося по основным и дополнительным образовательным программам, представлены в таблице </w:t>
      </w:r>
      <w:r>
        <w:rPr>
          <w:rFonts w:ascii="Times New Roman" w:hAnsi="Times New Roman" w:cs="Times New Roman"/>
          <w:sz w:val="26"/>
          <w:szCs w:val="26"/>
        </w:rPr>
        <w:t>4</w:t>
      </w:r>
      <w:r w:rsidRPr="00760077">
        <w:rPr>
          <w:rFonts w:ascii="Times New Roman" w:hAnsi="Times New Roman" w:cs="Times New Roman"/>
          <w:sz w:val="26"/>
          <w:szCs w:val="26"/>
        </w:rPr>
        <w:t>. Они</w:t>
      </w:r>
      <w:r w:rsidR="0037034C">
        <w:rPr>
          <w:rFonts w:ascii="Times New Roman" w:hAnsi="Times New Roman" w:cs="Times New Roman"/>
          <w:sz w:val="26"/>
          <w:szCs w:val="26"/>
        </w:rPr>
        <w:t> </w:t>
      </w:r>
      <w:proofErr w:type="gramStart"/>
      <w:r w:rsidRPr="00760077">
        <w:rPr>
          <w:rFonts w:ascii="Times New Roman" w:hAnsi="Times New Roman" w:cs="Times New Roman"/>
          <w:sz w:val="26"/>
          <w:szCs w:val="26"/>
        </w:rPr>
        <w:t>получены на основе ответов на вопросы 16 переписного листа формы Л. В</w:t>
      </w:r>
      <w:r w:rsidR="0037034C">
        <w:rPr>
          <w:rFonts w:ascii="Times New Roman" w:hAnsi="Times New Roman" w:cs="Times New Roman"/>
          <w:sz w:val="26"/>
          <w:szCs w:val="26"/>
        </w:rPr>
        <w:t> </w:t>
      </w:r>
      <w:r w:rsidRPr="00760077">
        <w:rPr>
          <w:rFonts w:ascii="Times New Roman" w:hAnsi="Times New Roman" w:cs="Times New Roman"/>
          <w:sz w:val="26"/>
          <w:szCs w:val="26"/>
        </w:rPr>
        <w:t>таблице</w:t>
      </w:r>
      <w:r w:rsidR="0037034C">
        <w:rPr>
          <w:rFonts w:ascii="Times New Roman" w:hAnsi="Times New Roman" w:cs="Times New Roman"/>
          <w:sz w:val="26"/>
          <w:szCs w:val="26"/>
        </w:rPr>
        <w:t xml:space="preserve"> </w:t>
      </w:r>
      <w:r>
        <w:rPr>
          <w:rFonts w:ascii="Times New Roman" w:hAnsi="Times New Roman" w:cs="Times New Roman"/>
          <w:sz w:val="26"/>
          <w:szCs w:val="26"/>
        </w:rPr>
        <w:t>4</w:t>
      </w:r>
      <w:r w:rsidRPr="00760077">
        <w:rPr>
          <w:rFonts w:ascii="Times New Roman" w:hAnsi="Times New Roman" w:cs="Times New Roman"/>
          <w:sz w:val="26"/>
          <w:szCs w:val="26"/>
        </w:rPr>
        <w:t xml:space="preserve"> население распределено</w:t>
      </w:r>
      <w:proofErr w:type="gramEnd"/>
      <w:r w:rsidRPr="00760077">
        <w:rPr>
          <w:rFonts w:ascii="Times New Roman" w:hAnsi="Times New Roman" w:cs="Times New Roman"/>
          <w:sz w:val="26"/>
          <w:szCs w:val="26"/>
        </w:rPr>
        <w:t xml:space="preserve"> по обучению на основе образовательных программ, установленных Федеральным законом от 29 декабря 2012 г. № 273-ФЗ «Об образовании в Российской Федерации» (с изменениями):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программы дошкольного образования – для детей, начиная с двухмесячного возраста, например, в яслях, детских садах и других организациях;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t xml:space="preserve">программы общего образования – для обучающихся по основным программам начального общего, основного общего и среднего общего образования (в частности, в школах); </w:t>
      </w:r>
      <w:proofErr w:type="gramEnd"/>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основные профессиональные программы – для студентов, обучающихся по образовательным программам среднего профессионального образования, программам высшего образования – </w:t>
      </w:r>
      <w:proofErr w:type="spellStart"/>
      <w:r w:rsidRPr="00760077">
        <w:rPr>
          <w:rFonts w:ascii="Times New Roman" w:hAnsi="Times New Roman" w:cs="Times New Roman"/>
          <w:sz w:val="26"/>
          <w:szCs w:val="26"/>
        </w:rPr>
        <w:t>бакалавриата</w:t>
      </w:r>
      <w:proofErr w:type="spellEnd"/>
      <w:r w:rsidRPr="00760077">
        <w:rPr>
          <w:rFonts w:ascii="Times New Roman" w:hAnsi="Times New Roman" w:cs="Times New Roman"/>
          <w:sz w:val="26"/>
          <w:szCs w:val="26"/>
        </w:rPr>
        <w:t xml:space="preserve">, </w:t>
      </w:r>
      <w:proofErr w:type="spellStart"/>
      <w:r w:rsidRPr="00760077">
        <w:rPr>
          <w:rFonts w:ascii="Times New Roman" w:hAnsi="Times New Roman" w:cs="Times New Roman"/>
          <w:sz w:val="26"/>
          <w:szCs w:val="26"/>
        </w:rPr>
        <w:t>специалитета</w:t>
      </w:r>
      <w:proofErr w:type="spellEnd"/>
      <w:r w:rsidRPr="00760077">
        <w:rPr>
          <w:rFonts w:ascii="Times New Roman" w:hAnsi="Times New Roman" w:cs="Times New Roman"/>
          <w:sz w:val="26"/>
          <w:szCs w:val="26"/>
        </w:rPr>
        <w:t xml:space="preserve"> и магистратуры, программам подготовки научно-педагогических кадров в аспирантуре (адъюнктуре), программам  ординатуры и </w:t>
      </w:r>
      <w:proofErr w:type="spellStart"/>
      <w:r w:rsidRPr="00760077">
        <w:rPr>
          <w:rFonts w:ascii="Times New Roman" w:hAnsi="Times New Roman" w:cs="Times New Roman"/>
          <w:sz w:val="26"/>
          <w:szCs w:val="26"/>
        </w:rPr>
        <w:t>ассистентуры-стажировки</w:t>
      </w:r>
      <w:proofErr w:type="spellEnd"/>
      <w:r w:rsidRPr="00760077">
        <w:rPr>
          <w:rFonts w:ascii="Times New Roman" w:hAnsi="Times New Roman" w:cs="Times New Roman"/>
          <w:sz w:val="26"/>
          <w:szCs w:val="26"/>
        </w:rPr>
        <w:t xml:space="preserve">; </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proofErr w:type="gramStart"/>
      <w:r w:rsidRPr="00760077">
        <w:rPr>
          <w:rFonts w:ascii="Times New Roman" w:hAnsi="Times New Roman" w:cs="Times New Roman"/>
          <w:sz w:val="26"/>
          <w:szCs w:val="26"/>
        </w:rPr>
        <w:t>дополнительные образовательные программы – для детей и взрослых, получающих дополнительное образование по общеразвивающим и предпрофессиональным программам в организациях дополнительного образования (музыкальные, художественные, хореографические школы, школы искусств, центры (дворцы, дома, станции, клубы) детского творчества, спортивные, технические, экологические и тому подобные, курсы различной направленности (например, курсы иностранных языков) и другие организации, не обеспечивающие получения уровней общего и профессионального образования), а также для получающих</w:t>
      </w:r>
      <w:proofErr w:type="gramEnd"/>
      <w:r w:rsidRPr="00760077">
        <w:rPr>
          <w:rFonts w:ascii="Times New Roman" w:hAnsi="Times New Roman" w:cs="Times New Roman"/>
          <w:sz w:val="26"/>
          <w:szCs w:val="26"/>
        </w:rPr>
        <w:t xml:space="preserve"> дополнительное профессиональное образование по программам повышения квалификации и профессиональной переподготовки.</w:t>
      </w:r>
    </w:p>
    <w:p w:rsidR="00760077" w:rsidRPr="00760077" w:rsidRDefault="00760077" w:rsidP="00760077">
      <w:pPr>
        <w:widowControl w:val="0"/>
        <w:spacing w:after="0" w:line="240" w:lineRule="auto"/>
        <w:ind w:firstLine="709"/>
        <w:jc w:val="both"/>
        <w:outlineLvl w:val="1"/>
        <w:rPr>
          <w:rFonts w:ascii="Times New Roman" w:hAnsi="Times New Roman" w:cs="Times New Roman"/>
          <w:sz w:val="26"/>
          <w:szCs w:val="26"/>
        </w:rPr>
      </w:pPr>
      <w:r w:rsidRPr="00760077">
        <w:rPr>
          <w:rFonts w:ascii="Times New Roman" w:hAnsi="Times New Roman" w:cs="Times New Roman"/>
          <w:sz w:val="26"/>
          <w:szCs w:val="26"/>
        </w:rPr>
        <w:t xml:space="preserve">Население может </w:t>
      </w:r>
      <w:proofErr w:type="gramStart"/>
      <w:r w:rsidRPr="00760077">
        <w:rPr>
          <w:rFonts w:ascii="Times New Roman" w:hAnsi="Times New Roman" w:cs="Times New Roman"/>
          <w:sz w:val="26"/>
          <w:szCs w:val="26"/>
        </w:rPr>
        <w:t>обучаться</w:t>
      </w:r>
      <w:proofErr w:type="gramEnd"/>
      <w:r w:rsidRPr="00760077">
        <w:rPr>
          <w:rFonts w:ascii="Times New Roman" w:hAnsi="Times New Roman" w:cs="Times New Roman"/>
          <w:sz w:val="26"/>
          <w:szCs w:val="26"/>
        </w:rPr>
        <w:t xml:space="preserve"> как только по одной из основных образовательных программ, так и по одной из основных образовательных программ  с одновременным освоением одной или нескольких программ дополнительного образования.</w:t>
      </w: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Городское и сельское население.</w:t>
      </w:r>
      <w:r w:rsidRPr="006F11B7">
        <w:rPr>
          <w:rFonts w:ascii="Times New Roman" w:hAnsi="Times New Roman" w:cs="Times New Roman"/>
          <w:sz w:val="26"/>
          <w:szCs w:val="26"/>
        </w:rPr>
        <w:t xml:space="preserve"> </w:t>
      </w:r>
      <w:proofErr w:type="gramStart"/>
      <w:r w:rsidRPr="006F11B7">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6F11B7">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w:t>
      </w:r>
      <w:r w:rsidRPr="006F11B7">
        <w:rPr>
          <w:rFonts w:ascii="Times New Roman" w:hAnsi="Times New Roman" w:cs="Times New Roman"/>
          <w:sz w:val="26"/>
          <w:szCs w:val="26"/>
        </w:rPr>
        <w:lastRenderedPageBreak/>
        <w:t>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7905" w:rsidRPr="006F11B7" w:rsidSect="009B6B03">
      <w:headerReference w:type="default" r:id="rId6"/>
      <w:pgSz w:w="11630" w:h="16450"/>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77" w:rsidRDefault="00760077" w:rsidP="009B6B03">
      <w:pPr>
        <w:spacing w:after="0" w:line="240" w:lineRule="auto"/>
      </w:pPr>
      <w:r>
        <w:separator/>
      </w:r>
    </w:p>
  </w:endnote>
  <w:endnote w:type="continuationSeparator" w:id="0">
    <w:p w:rsidR="00760077" w:rsidRDefault="00760077" w:rsidP="009B6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77" w:rsidRDefault="00760077" w:rsidP="009B6B03">
      <w:pPr>
        <w:spacing w:after="0" w:line="240" w:lineRule="auto"/>
      </w:pPr>
      <w:r>
        <w:separator/>
      </w:r>
    </w:p>
  </w:footnote>
  <w:footnote w:type="continuationSeparator" w:id="0">
    <w:p w:rsidR="00760077" w:rsidRDefault="00760077" w:rsidP="009B6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097054"/>
      <w:docPartObj>
        <w:docPartGallery w:val="Page Numbers (Top of Page)"/>
        <w:docPartUnique/>
      </w:docPartObj>
    </w:sdtPr>
    <w:sdtContent>
      <w:p w:rsidR="00760077" w:rsidRDefault="00B13455">
        <w:pPr>
          <w:pStyle w:val="af"/>
          <w:jc w:val="center"/>
        </w:pPr>
        <w:r>
          <w:fldChar w:fldCharType="begin"/>
        </w:r>
        <w:r w:rsidR="00760077">
          <w:instrText>PAGE   \* MERGEFORMAT</w:instrText>
        </w:r>
        <w:r>
          <w:fldChar w:fldCharType="separate"/>
        </w:r>
        <w:r w:rsidR="008C19DE">
          <w:rPr>
            <w:noProof/>
          </w:rPr>
          <w:t>10</w:t>
        </w:r>
        <w:r>
          <w:fldChar w:fldCharType="end"/>
        </w:r>
      </w:p>
    </w:sdtContent>
  </w:sdt>
  <w:p w:rsidR="00760077" w:rsidRDefault="00760077">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6EE"/>
    <w:rsid w:val="0002126E"/>
    <w:rsid w:val="00060B5C"/>
    <w:rsid w:val="000C7170"/>
    <w:rsid w:val="000F49A4"/>
    <w:rsid w:val="00171F44"/>
    <w:rsid w:val="001909AD"/>
    <w:rsid w:val="001B51BB"/>
    <w:rsid w:val="001D4B36"/>
    <w:rsid w:val="00200918"/>
    <w:rsid w:val="00256047"/>
    <w:rsid w:val="002834CC"/>
    <w:rsid w:val="00287905"/>
    <w:rsid w:val="002A08D0"/>
    <w:rsid w:val="0037034C"/>
    <w:rsid w:val="003E572D"/>
    <w:rsid w:val="0046108B"/>
    <w:rsid w:val="00467365"/>
    <w:rsid w:val="004738B0"/>
    <w:rsid w:val="004E58AF"/>
    <w:rsid w:val="006A06E2"/>
    <w:rsid w:val="00760077"/>
    <w:rsid w:val="007950C1"/>
    <w:rsid w:val="007D5BF6"/>
    <w:rsid w:val="008C19DE"/>
    <w:rsid w:val="008F1051"/>
    <w:rsid w:val="009B3641"/>
    <w:rsid w:val="009B6B03"/>
    <w:rsid w:val="009C3AD2"/>
    <w:rsid w:val="00A562A8"/>
    <w:rsid w:val="00A97E37"/>
    <w:rsid w:val="00B13455"/>
    <w:rsid w:val="00B659DF"/>
    <w:rsid w:val="00BA4F3D"/>
    <w:rsid w:val="00BC55F8"/>
    <w:rsid w:val="00C819AF"/>
    <w:rsid w:val="00CA6849"/>
    <w:rsid w:val="00CB44F7"/>
    <w:rsid w:val="00D471C4"/>
    <w:rsid w:val="00D726BA"/>
    <w:rsid w:val="00E10611"/>
    <w:rsid w:val="00EA56EE"/>
    <w:rsid w:val="00EC5FF8"/>
    <w:rsid w:val="00F167FC"/>
    <w:rsid w:val="00FA1F05"/>
    <w:rsid w:val="00FB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8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Болукова Татьяна Васильевна</cp:lastModifiedBy>
  <cp:revision>5</cp:revision>
  <dcterms:created xsi:type="dcterms:W3CDTF">2023-01-20T12:05:00Z</dcterms:created>
  <dcterms:modified xsi:type="dcterms:W3CDTF">2023-01-27T06:15:00Z</dcterms:modified>
</cp:coreProperties>
</file>